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F9E6" w14:textId="2058A9D4" w:rsidR="00D26A24" w:rsidRPr="00D26A24" w:rsidRDefault="00D26A24" w:rsidP="00D26A24">
      <w:pPr>
        <w:spacing w:line="0" w:lineRule="atLeast"/>
        <w:rPr>
          <w:rFonts w:ascii="標楷體" w:eastAsia="標楷體" w:hAnsi="標楷體" w:hint="eastAsia"/>
          <w:b/>
          <w:szCs w:val="24"/>
        </w:rPr>
      </w:pPr>
    </w:p>
    <w:tbl>
      <w:tblPr>
        <w:tblW w:w="9552" w:type="dxa"/>
        <w:tblInd w:w="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370"/>
        <w:gridCol w:w="2461"/>
        <w:gridCol w:w="1370"/>
        <w:gridCol w:w="1715"/>
        <w:gridCol w:w="1370"/>
        <w:gridCol w:w="79"/>
      </w:tblGrid>
      <w:tr w:rsidR="00D26A24" w:rsidRPr="006665C8" w14:paraId="38ACBBEA" w14:textId="77777777" w:rsidTr="004E7655">
        <w:trPr>
          <w:trHeight w:val="815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A50E" w14:textId="77777777" w:rsidR="00D26A24" w:rsidRPr="00420F4F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</w:t>
            </w:r>
            <w:proofErr w:type="gramStart"/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度彰師附</w:t>
            </w:r>
            <w:proofErr w:type="gramEnd"/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 國中學生職</w:t>
            </w:r>
            <w:proofErr w:type="gramStart"/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涯</w:t>
            </w:r>
            <w:proofErr w:type="gramEnd"/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探索實務體驗營</w:t>
            </w:r>
            <w:r w:rsidRPr="00420F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交通車接送時間及路線表</w:t>
            </w:r>
          </w:p>
        </w:tc>
      </w:tr>
      <w:tr w:rsidR="00D26A24" w:rsidRPr="006665C8" w14:paraId="0C3E7B94" w14:textId="77777777" w:rsidTr="004E7655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B1D1D5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車別</w:t>
            </w:r>
            <w:proofErr w:type="gramEnd"/>
          </w:p>
        </w:tc>
        <w:tc>
          <w:tcPr>
            <w:tcW w:w="82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CBB059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路　線　及　時　間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0340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29A04E32" w14:textId="77777777" w:rsidTr="004E7655">
        <w:trPr>
          <w:trHeight w:val="236"/>
        </w:trPr>
        <w:tc>
          <w:tcPr>
            <w:tcW w:w="955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A1A0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往   彰   師   附   工</w:t>
            </w:r>
          </w:p>
        </w:tc>
      </w:tr>
      <w:tr w:rsidR="00D26A24" w:rsidRPr="006665C8" w14:paraId="3590F7D8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8A3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1車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62BDB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12:45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30EC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AA8B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6A56A222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14:paraId="1896DAA8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/>
            <w:vAlign w:val="center"/>
          </w:tcPr>
          <w:p w14:paraId="6E4F0C8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E13E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3FDD4028" w14:textId="77777777" w:rsidTr="004E7655">
        <w:trPr>
          <w:trHeight w:val="406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D7AA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E3F19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彰安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0B274740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41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5195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94C0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0BB6C8D1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E42C1C7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F6E9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15E6177D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0D8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2車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9F8EF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12:50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D85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A800E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CDF70C0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2F56385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0AF7C32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8C59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103601F3" w14:textId="77777777" w:rsidTr="004E7655">
        <w:trPr>
          <w:trHeight w:val="40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D221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D0CE9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07752715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8FB57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F009D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474FDE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BCFC06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1792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51B3B853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8CD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3車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7D09F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12:20</w:t>
            </w:r>
          </w:p>
          <w:p w14:paraId="0F7B1B10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線西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00CA013E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657D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A84E9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12:55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AF40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AB3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13:1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2044AAA2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B9EF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004F5359" w14:textId="77777777" w:rsidTr="004E7655">
        <w:trPr>
          <w:trHeight w:val="40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3253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E82C0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AEF7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91A1C3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彰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興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4EF7A78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205C3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3D405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96EA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7F57F4D6" w14:textId="77777777" w:rsidTr="004E7655">
        <w:trPr>
          <w:trHeight w:val="40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D239E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4車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8C5DA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12:30</w:t>
            </w:r>
          </w:p>
          <w:p w14:paraId="45F0F408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伸港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47CEAB20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28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7CAC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7A500B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615D681F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705AF5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C5E3FD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42F51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6A24" w:rsidRPr="006665C8" w14:paraId="48989658" w14:textId="77777777" w:rsidTr="004E7655">
        <w:trPr>
          <w:trHeight w:val="40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8C1B5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0C2249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C02CB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53E90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1FB618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5799820F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F58A6" w14:textId="77777777" w:rsidR="00D26A24" w:rsidRPr="006665C8" w:rsidRDefault="00D26A24" w:rsidP="004E765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6A24" w:rsidRPr="006665C8" w14:paraId="63CD477D" w14:textId="77777777" w:rsidTr="004E7655">
        <w:trPr>
          <w:trHeight w:val="367"/>
        </w:trPr>
        <w:tc>
          <w:tcPr>
            <w:tcW w:w="95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9718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回　　　程</w:t>
            </w:r>
          </w:p>
        </w:tc>
      </w:tr>
      <w:tr w:rsidR="00D26A24" w:rsidRPr="006665C8" w14:paraId="135AA299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C631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1車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2840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16:2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37F16F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1048D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89AF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16:35</w:t>
            </w:r>
          </w:p>
          <w:p w14:paraId="079DFEC7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彰安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5343D43C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41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6C31E79F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 w:val="restart"/>
            <w:shd w:val="clear" w:color="000000" w:fill="FFFFFF"/>
            <w:noWrap/>
            <w:vAlign w:val="center"/>
          </w:tcPr>
          <w:p w14:paraId="518FB932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C0858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BDF8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09FE4EA3" w14:textId="77777777" w:rsidTr="004E7655">
        <w:trPr>
          <w:trHeight w:val="406"/>
        </w:trPr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C7059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EB29E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7184A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B8DE6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19F812E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/>
            <w:shd w:val="clear" w:color="000000" w:fill="FFFFFF"/>
            <w:noWrap/>
            <w:vAlign w:val="center"/>
          </w:tcPr>
          <w:p w14:paraId="2F2B8646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E6A0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4D03B71C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B73C4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2車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51B04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16:2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45A4930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67D05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706B4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16:30</w:t>
            </w:r>
          </w:p>
          <w:p w14:paraId="06F8F1B9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175E00E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0C5473D6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 w:val="restart"/>
            <w:shd w:val="clear" w:color="000000" w:fill="FFFFFF"/>
            <w:noWrap/>
            <w:vAlign w:val="center"/>
          </w:tcPr>
          <w:p w14:paraId="1EEC7FC8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EEE77B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52FD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380022F7" w14:textId="77777777" w:rsidTr="004E7655">
        <w:trPr>
          <w:trHeight w:val="40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4891C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CCC24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05A2A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FFC56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604B7C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3C7829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ABDE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3F571372" w14:textId="77777777" w:rsidTr="004E7655">
        <w:trPr>
          <w:trHeight w:val="40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A23DC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3車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EAFB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16:2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18B82F57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CDBFE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092BD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16:35</w:t>
            </w:r>
          </w:p>
          <w:p w14:paraId="345A330E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彰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興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03656420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ED067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DE2C6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  <w:p w14:paraId="09019A3A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線西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1D8663D0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D3A4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0E843859" w14:textId="77777777" w:rsidTr="004E7655">
        <w:trPr>
          <w:trHeight w:val="40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03A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8334F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5270E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81741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10A47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434B0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172E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26A24" w:rsidRPr="006665C8" w14:paraId="2B87BF32" w14:textId="77777777" w:rsidTr="004E7655">
        <w:trPr>
          <w:trHeight w:val="40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2E5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4車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E7663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16:2</w:t>
            </w:r>
            <w:r w:rsidRPr="006665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26007A7A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彰師附</w:t>
            </w:r>
            <w:proofErr w:type="gramEnd"/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565F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  <w:r w:rsidRPr="006665C8">
              <w:rPr>
                <w:rFonts w:ascii="Wingdings" w:eastAsia="新細明體" w:hAnsi="Wingdings" w:cs="新細明體"/>
                <w:kern w:val="0"/>
                <w:sz w:val="72"/>
                <w:szCs w:val="72"/>
              </w:rPr>
              <w:t>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97DF9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16:50</w:t>
            </w:r>
          </w:p>
          <w:p w14:paraId="58129AA3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伸港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  <w:p w14:paraId="5CC34F9B" w14:textId="77777777" w:rsidR="00D26A24" w:rsidRPr="006665C8" w:rsidRDefault="00D26A24" w:rsidP="004E7655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28</w:t>
            </w:r>
            <w:r w:rsidRPr="006665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D1D8D5" w14:textId="77777777" w:rsidR="00D26A24" w:rsidRPr="006665C8" w:rsidRDefault="00D26A24" w:rsidP="004E7655">
            <w:pPr>
              <w:widowControl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4C782FF5" w14:textId="77777777" w:rsidR="00D26A24" w:rsidRPr="006665C8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495E8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6A24" w:rsidRPr="006665C8" w14:paraId="22D004B8" w14:textId="77777777" w:rsidTr="004E7655">
        <w:trPr>
          <w:trHeight w:val="40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9CF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EAE91A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F69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0DA761" w14:textId="77777777" w:rsidR="00D26A24" w:rsidRDefault="00D26A24" w:rsidP="004E7655">
            <w:pPr>
              <w:widowControl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DAEB9C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rPr>
                <w:rFonts w:ascii="Wingdings" w:eastAsia="新細明體" w:hAnsi="Wingdings" w:cs="新細明體" w:hint="eastAsia"/>
                <w:kern w:val="0"/>
                <w:sz w:val="72"/>
                <w:szCs w:val="7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8DA26E" w14:textId="77777777" w:rsidR="00D26A24" w:rsidRPr="006665C8" w:rsidRDefault="00D26A24" w:rsidP="004E7655">
            <w:pPr>
              <w:widowControl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D18E0" w14:textId="77777777" w:rsidR="00D26A24" w:rsidRPr="006665C8" w:rsidRDefault="00D26A24" w:rsidP="004E76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1256DD32" w14:textId="2AFF67B3" w:rsidR="009E58F5" w:rsidRPr="00420F4F" w:rsidRDefault="009E58F5" w:rsidP="00D26A24">
      <w:pPr>
        <w:pStyle w:val="a3"/>
        <w:spacing w:line="0" w:lineRule="atLeast"/>
        <w:ind w:leftChars="0" w:left="645"/>
        <w:rPr>
          <w:rFonts w:ascii="標楷體" w:eastAsia="標楷體" w:hAnsi="標楷體"/>
          <w:b/>
          <w:szCs w:val="24"/>
        </w:rPr>
      </w:pPr>
    </w:p>
    <w:p w14:paraId="09D45647" w14:textId="77777777" w:rsidR="00954ABE" w:rsidRPr="00420F4F" w:rsidRDefault="009E58F5" w:rsidP="00186CD3">
      <w:pPr>
        <w:spacing w:line="0" w:lineRule="atLeast"/>
        <w:rPr>
          <w:rFonts w:ascii="標楷體" w:eastAsia="標楷體" w:hAnsi="標楷體"/>
          <w:b/>
          <w:szCs w:val="24"/>
        </w:rPr>
      </w:pPr>
      <w:r w:rsidRPr="00420F4F">
        <w:rPr>
          <w:rFonts w:ascii="標楷體" w:eastAsia="標楷體" w:hAnsi="標楷體" w:hint="eastAsia"/>
          <w:b/>
          <w:szCs w:val="24"/>
        </w:rPr>
        <w:t>注意事項：</w:t>
      </w:r>
    </w:p>
    <w:p w14:paraId="31FEA8AD" w14:textId="77777777" w:rsidR="009E58F5" w:rsidRPr="00420F4F" w:rsidRDefault="009E58F5" w:rsidP="00186CD3">
      <w:pPr>
        <w:spacing w:line="0" w:lineRule="atLeast"/>
        <w:rPr>
          <w:rFonts w:ascii="標楷體" w:eastAsia="標楷體" w:hAnsi="標楷體"/>
          <w:b/>
          <w:szCs w:val="24"/>
        </w:rPr>
      </w:pPr>
      <w:r w:rsidRPr="00420F4F">
        <w:rPr>
          <w:rFonts w:ascii="標楷體" w:eastAsia="標楷體" w:hAnsi="標楷體" w:hint="eastAsia"/>
          <w:b/>
          <w:szCs w:val="24"/>
        </w:rPr>
        <w:t>上述時間為發車時間，請各校師長提前集合學生，以免耽誤活動行程。</w:t>
      </w:r>
    </w:p>
    <w:p w14:paraId="1199C83F" w14:textId="77777777" w:rsidR="009E58F5" w:rsidRPr="00420F4F" w:rsidRDefault="009E58F5" w:rsidP="00186CD3">
      <w:pPr>
        <w:spacing w:line="0" w:lineRule="atLeast"/>
        <w:rPr>
          <w:rFonts w:ascii="標楷體" w:eastAsia="標楷體" w:hAnsi="標楷體"/>
          <w:b/>
          <w:szCs w:val="24"/>
        </w:rPr>
      </w:pPr>
      <w:r w:rsidRPr="00420F4F">
        <w:rPr>
          <w:rFonts w:ascii="標楷體" w:eastAsia="標楷體" w:hAnsi="標楷體" w:hint="eastAsia"/>
          <w:b/>
          <w:szCs w:val="24"/>
        </w:rPr>
        <w:t>請帶隊師長協助學生乘坐正確車次，勿自行調整座車，以免影響其他學校同學座位。</w:t>
      </w:r>
    </w:p>
    <w:sectPr w:rsidR="009E58F5" w:rsidRPr="00420F4F" w:rsidSect="009E58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E998" w14:textId="77777777" w:rsidR="005B1666" w:rsidRDefault="005B1666" w:rsidP="00954ABE">
      <w:r>
        <w:separator/>
      </w:r>
    </w:p>
  </w:endnote>
  <w:endnote w:type="continuationSeparator" w:id="0">
    <w:p w14:paraId="53C623D9" w14:textId="77777777" w:rsidR="005B1666" w:rsidRDefault="005B1666" w:rsidP="009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F6A3" w14:textId="77777777" w:rsidR="005B1666" w:rsidRDefault="005B1666" w:rsidP="00954ABE">
      <w:r>
        <w:separator/>
      </w:r>
    </w:p>
  </w:footnote>
  <w:footnote w:type="continuationSeparator" w:id="0">
    <w:p w14:paraId="130B2A64" w14:textId="77777777" w:rsidR="005B1666" w:rsidRDefault="005B1666" w:rsidP="0095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6B56"/>
    <w:multiLevelType w:val="hybridMultilevel"/>
    <w:tmpl w:val="DE6C7F38"/>
    <w:lvl w:ilvl="0" w:tplc="18EA43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F5"/>
    <w:rsid w:val="00004ED4"/>
    <w:rsid w:val="000A30B5"/>
    <w:rsid w:val="00186CD3"/>
    <w:rsid w:val="00202CCF"/>
    <w:rsid w:val="002317F0"/>
    <w:rsid w:val="00366A0E"/>
    <w:rsid w:val="00420F4F"/>
    <w:rsid w:val="00506D14"/>
    <w:rsid w:val="00516D94"/>
    <w:rsid w:val="00530678"/>
    <w:rsid w:val="005B1666"/>
    <w:rsid w:val="006377FD"/>
    <w:rsid w:val="006665C8"/>
    <w:rsid w:val="00690173"/>
    <w:rsid w:val="006B6D5D"/>
    <w:rsid w:val="006C437C"/>
    <w:rsid w:val="006F53EF"/>
    <w:rsid w:val="00783DE5"/>
    <w:rsid w:val="008432BC"/>
    <w:rsid w:val="008A19B4"/>
    <w:rsid w:val="008A40AE"/>
    <w:rsid w:val="00954ABE"/>
    <w:rsid w:val="009E58F5"/>
    <w:rsid w:val="009F3EDB"/>
    <w:rsid w:val="00AF6ACF"/>
    <w:rsid w:val="00BF2FA1"/>
    <w:rsid w:val="00C718A8"/>
    <w:rsid w:val="00CF01C6"/>
    <w:rsid w:val="00D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3C8E0"/>
  <w15:docId w15:val="{C601C889-DF3D-4CD6-A71B-CB2A29F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A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BD69-CAF3-4031-BB11-5298D729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0wei</dc:creator>
  <cp:lastModifiedBy>思涵 王</cp:lastModifiedBy>
  <cp:revision>3</cp:revision>
  <cp:lastPrinted>2020-05-18T22:19:00Z</cp:lastPrinted>
  <dcterms:created xsi:type="dcterms:W3CDTF">2022-01-26T22:26:00Z</dcterms:created>
  <dcterms:modified xsi:type="dcterms:W3CDTF">2022-01-28T02:04:00Z</dcterms:modified>
</cp:coreProperties>
</file>